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Cs/>
          <w:sz w:val="28"/>
          <w:lang w:val="en-US" w:eastAsia="zh-CN"/>
        </w:rPr>
      </w:pPr>
      <w:r>
        <w:rPr>
          <w:b/>
          <w:sz w:val="24"/>
        </w:rPr>
        <w:t>3GPP TSG-SA3 Meeting#11</w:t>
      </w:r>
      <w:r>
        <w:rPr>
          <w:rFonts w:hint="eastAsia" w:eastAsia="宋体"/>
          <w:b/>
          <w:sz w:val="24"/>
          <w:lang w:val="en-US" w:eastAsia="zh-CN"/>
        </w:rPr>
        <w:t>6</w:t>
      </w:r>
      <w:r>
        <w:rPr>
          <w:b/>
          <w:i/>
          <w:sz w:val="28"/>
        </w:rPr>
        <w:tab/>
      </w:r>
      <w:r>
        <w:rPr>
          <w:b/>
          <w:iCs/>
          <w:sz w:val="28"/>
        </w:rPr>
        <w:t>S3-24</w:t>
      </w:r>
      <w:r>
        <w:rPr>
          <w:rFonts w:hint="eastAsia" w:eastAsia="宋体"/>
          <w:b/>
          <w:iCs/>
          <w:sz w:val="28"/>
          <w:lang w:val="en-US" w:eastAsia="zh-CN"/>
        </w:rPr>
        <w:t>2259</w:t>
      </w:r>
      <w:bookmarkStart w:id="15" w:name="_GoBack"/>
      <w:bookmarkEnd w:id="15"/>
    </w:p>
    <w:p>
      <w:pPr>
        <w:pStyle w:val="62"/>
        <w:rPr>
          <w:rFonts w:hint="eastAsia" w:eastAsiaTheme="minorEastAsia"/>
          <w:sz w:val="22"/>
          <w:szCs w:val="22"/>
          <w:lang w:eastAsia="zh-CN"/>
        </w:rPr>
      </w:pPr>
      <w:r>
        <w:rPr>
          <w:rFonts w:hint="eastAsia"/>
          <w:sz w:val="24"/>
        </w:rPr>
        <w:t>Jeju, South Korea</w:t>
      </w:r>
      <w:r>
        <w:rPr>
          <w:sz w:val="24"/>
        </w:rPr>
        <w:t xml:space="preserve">, </w:t>
      </w:r>
      <w:r>
        <w:rPr>
          <w:rFonts w:hint="eastAsia" w:eastAsia="宋体"/>
          <w:sz w:val="24"/>
          <w:lang w:val="en-US" w:eastAsia="zh-CN"/>
        </w:rPr>
        <w:t>May</w:t>
      </w:r>
      <w:r>
        <w:rPr>
          <w:sz w:val="24"/>
        </w:rPr>
        <w:t xml:space="preserve"> </w:t>
      </w:r>
      <w:r>
        <w:rPr>
          <w:rFonts w:hint="eastAsia" w:eastAsiaTheme="minorEastAsia"/>
          <w:sz w:val="24"/>
          <w:lang w:eastAsia="zh-CN"/>
        </w:rPr>
        <w:t>20</w:t>
      </w:r>
      <w:r>
        <w:rPr>
          <w:sz w:val="24"/>
        </w:rPr>
        <w:t>-2</w:t>
      </w:r>
      <w:r>
        <w:rPr>
          <w:rFonts w:hint="eastAsia" w:eastAsia="宋体"/>
          <w:sz w:val="24"/>
          <w:lang w:val="en-US" w:eastAsia="zh-CN"/>
        </w:rPr>
        <w:t>4,</w:t>
      </w:r>
      <w:r>
        <w:rPr>
          <w:sz w:val="24"/>
        </w:rPr>
        <w:t xml:space="preserve"> 2024</w:t>
      </w:r>
      <w:r>
        <w:rPr>
          <w:rFonts w:hint="eastAsia" w:eastAsia="宋体"/>
          <w:sz w:val="24"/>
          <w:lang w:val="en-US" w:eastAsia="zh-CN"/>
        </w:rPr>
        <w:t xml:space="preserve">                                     </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33.401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0716</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Theme="minorEastAsia"/>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17.</w:t>
            </w:r>
            <w:r>
              <w:rPr>
                <w:rFonts w:hint="eastAsia" w:eastAsia="宋体"/>
                <w:b/>
                <w:sz w:val="28"/>
                <w:lang w:val="en-US" w:eastAsia="zh-CN"/>
              </w:rPr>
              <w:t>4</w:t>
            </w:r>
            <w:r>
              <w:rPr>
                <w:b/>
                <w:sz w:val="28"/>
              </w:rPr>
              <w:t>.</w:t>
            </w:r>
            <w:r>
              <w:rPr>
                <w:b/>
                <w:sz w:val="28"/>
              </w:rPr>
              <w:fldChar w:fldCharType="end"/>
            </w:r>
            <w:r>
              <w:rPr>
                <w:rFonts w:hint="eastAsia" w:eastAsiaTheme="minorEastAsia"/>
                <w:b/>
                <w:sz w:val="28"/>
                <w:lang w:eastAsia="zh-CN"/>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 xml:space="preserve">Correction on </w:t>
            </w:r>
            <w:r>
              <w:rPr>
                <w:rFonts w:hint="eastAsia" w:eastAsia="宋体"/>
                <w:lang w:val="en-US" w:eastAsia="zh-CN"/>
              </w:rPr>
              <w:t>negotiation of security algorithms</w:t>
            </w:r>
            <w:r>
              <w:t xml:space="preserve"> for EN-DC (R17)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color w:val="FF0000"/>
                <w:lang w:val="en-US" w:eastAsia="zh-CN"/>
              </w:rPr>
              <w:t>TEI17</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2024-</w:t>
            </w:r>
            <w:r>
              <w:rPr>
                <w:rFonts w:hint="eastAsia" w:eastAsia="宋体"/>
                <w:lang w:val="en-US" w:eastAsia="zh-CN"/>
              </w:rPr>
              <w:t>03-19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Theme="minorEastAsia"/>
                <w:b/>
                <w:lang w:eastAsia="zh-CN"/>
              </w:rPr>
            </w:pPr>
            <w:r>
              <w:rPr>
                <w:rFonts w:hint="eastAsia" w:eastAsiaTheme="minorEastAsia"/>
                <w:b/>
                <w:lang w:eastAsia="zh-CN"/>
              </w:rPr>
              <w:t>D</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I</w:t>
            </w:r>
            <w:r>
              <w:rPr>
                <w:lang w:eastAsia="zh-CN"/>
              </w:rPr>
              <w:t xml:space="preserve">n current text for </w:t>
            </w:r>
            <w:r>
              <w:rPr>
                <w:rFonts w:hint="eastAsia"/>
                <w:lang w:eastAsia="zh-CN"/>
              </w:rPr>
              <w:t>Negotiation of security algorithms</w:t>
            </w:r>
            <w:r>
              <w:rPr>
                <w:lang w:eastAsia="zh-CN"/>
              </w:rPr>
              <w:t xml:space="preserve"> for EN-DC, it states that “</w:t>
            </w:r>
            <w:r>
              <w:rPr>
                <w:rFonts w:hint="eastAsia"/>
                <w:i/>
                <w:lang w:eastAsia="zh-CN"/>
              </w:rPr>
              <w:t>An eNB that does not receive the UE NR security capabilities shall use the E-UTRAN security capabilities algorithms to create the supported UE NR security capabilities (see Annex E.</w:t>
            </w:r>
            <w:r>
              <w:rPr>
                <w:rFonts w:hint="eastAsia"/>
                <w:i/>
                <w:lang w:val="en-US" w:eastAsia="zh-CN"/>
              </w:rPr>
              <w:t>10</w:t>
            </w:r>
            <w:r>
              <w:rPr>
                <w:rFonts w:hint="eastAsia"/>
                <w:i/>
                <w:lang w:eastAsia="zh-CN"/>
              </w:rPr>
              <w:t>.</w:t>
            </w:r>
            <w:r>
              <w:rPr>
                <w:rFonts w:hint="eastAsia"/>
                <w:i/>
                <w:lang w:val="en-US" w:eastAsia="zh-CN"/>
              </w:rPr>
              <w:t>3</w:t>
            </w:r>
            <w:r>
              <w:rPr>
                <w:rFonts w:hint="eastAsia"/>
                <w:i/>
                <w:lang w:eastAsia="zh-CN"/>
              </w:rPr>
              <w:t>.2 for more details)</w:t>
            </w:r>
            <w:r>
              <w:rPr>
                <w:lang w:eastAsia="zh-CN"/>
              </w:rPr>
              <w:t>”.</w:t>
            </w:r>
          </w:p>
          <w:p>
            <w:pPr>
              <w:pStyle w:val="128"/>
              <w:spacing w:after="0"/>
              <w:ind w:left="100"/>
              <w:rPr>
                <w:rFonts w:eastAsiaTheme="minorEastAsia"/>
              </w:rPr>
            </w:pPr>
            <w:r>
              <w:rPr>
                <w:lang w:eastAsia="zh-CN"/>
              </w:rPr>
              <w:t xml:space="preserve">However, </w:t>
            </w:r>
            <w:r>
              <w:rPr>
                <w:rFonts w:hint="eastAsia"/>
                <w:lang w:val="en-US" w:eastAsia="zh-CN"/>
              </w:rPr>
              <w:t>t</w:t>
            </w:r>
            <w:r>
              <w:rPr>
                <w:rFonts w:hint="eastAsia"/>
                <w:lang w:eastAsia="zh-CN"/>
              </w:rPr>
              <w:t>he correct Annex directory is E.3.10.2, not E.10.3.2.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val="en-US"/>
              </w:rPr>
            </w:pPr>
            <w:r>
              <w:rPr>
                <w:rFonts w:hint="eastAsia"/>
                <w:lang w:val="en-US" w:eastAsia="zh-CN"/>
              </w:rPr>
              <w:t>C</w:t>
            </w:r>
            <w:r>
              <w:rPr>
                <w:rFonts w:hint="eastAsia"/>
                <w:lang w:eastAsia="zh-CN"/>
              </w:rPr>
              <w:t xml:space="preserve">orrect </w:t>
            </w:r>
            <w:r>
              <w:rPr>
                <w:rFonts w:hint="eastAsia" w:eastAsiaTheme="minorEastAsia"/>
                <w:lang w:eastAsia="zh-CN"/>
              </w:rPr>
              <w:t xml:space="preserve">the </w:t>
            </w:r>
            <w:r>
              <w:rPr>
                <w:rFonts w:hint="eastAsia"/>
                <w:lang w:eastAsia="zh-CN"/>
              </w:rPr>
              <w:t>annex directory</w:t>
            </w:r>
            <w:r>
              <w:rPr>
                <w:rFonts w:hint="eastAsia"/>
                <w:lang w:val="en-US" w:eastAsia="zh-CN"/>
              </w:rPr>
              <w:t xml:space="preserve"> for </w:t>
            </w:r>
            <w:r>
              <w:rPr>
                <w:rFonts w:hint="eastAsia" w:eastAsiaTheme="minorEastAsia"/>
                <w:lang w:val="en-US" w:eastAsia="zh-CN"/>
              </w:rPr>
              <w:t>creating the mapped UE NR</w:t>
            </w:r>
            <w:r>
              <w:rPr>
                <w:rFonts w:hint="eastAsia"/>
                <w:lang w:eastAsia="zh-CN"/>
              </w:rPr>
              <w:t xml:space="preserve"> security capabilities algorithms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 xml:space="preserve">It </w:t>
            </w:r>
            <w:r>
              <w:t xml:space="preserve">may cause </w:t>
            </w:r>
            <w:r>
              <w:rPr>
                <w:rFonts w:hint="eastAsia"/>
                <w:lang w:eastAsia="zh-CN"/>
              </w:rPr>
              <w:t>eNB to be unable to create the supported UE NR security capabilities.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t>E.3.</w:t>
            </w:r>
            <w:r>
              <w:rPr>
                <w:rFonts w:hint="eastAsia" w:eastAsia="宋体"/>
                <w:lang w:val="en-US" w:eastAsia="zh-CN"/>
              </w:rPr>
              <w:t>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jc w:val="center"/>
        <w:textAlignment w:val="baseline"/>
        <w:rPr>
          <w:b/>
          <w:bCs/>
          <w:color w:val="0432FF"/>
          <w:sz w:val="36"/>
          <w:szCs w:val="36"/>
        </w:rPr>
      </w:pPr>
      <w:bookmarkStart w:id="1" w:name="_Toc51167985"/>
      <w:bookmarkStart w:id="2" w:name="_Toc45274728"/>
      <w:bookmarkStart w:id="3" w:name="_Toc45274141"/>
      <w:bookmarkStart w:id="4" w:name="_Toc35528373"/>
      <w:bookmarkStart w:id="5" w:name="_Toc35533134"/>
      <w:bookmarkStart w:id="6" w:name="_Toc19634565"/>
      <w:bookmarkStart w:id="7" w:name="_Toc106197493"/>
      <w:bookmarkStart w:id="8" w:name="_Toc45028476"/>
      <w:bookmarkStart w:id="9" w:name="_Toc26875623"/>
      <w:r>
        <w:rPr>
          <w:b/>
          <w:bCs/>
          <w:color w:val="0432FF"/>
          <w:sz w:val="36"/>
          <w:szCs w:val="36"/>
        </w:rPr>
        <w:t>*** START OF CHANGES ***</w:t>
      </w:r>
    </w:p>
    <w:bookmarkEnd w:id="1"/>
    <w:bookmarkEnd w:id="2"/>
    <w:bookmarkEnd w:id="3"/>
    <w:bookmarkEnd w:id="4"/>
    <w:bookmarkEnd w:id="5"/>
    <w:bookmarkEnd w:id="6"/>
    <w:bookmarkEnd w:id="7"/>
    <w:bookmarkEnd w:id="8"/>
    <w:bookmarkEnd w:id="9"/>
    <w:p>
      <w:pPr>
        <w:pStyle w:val="5"/>
      </w:pPr>
      <w:bookmarkStart w:id="10" w:name="_Toc11226530"/>
      <w:bookmarkStart w:id="11" w:name="_Toc26800224"/>
      <w:bookmarkStart w:id="12" w:name="_Toc35439032"/>
      <w:bookmarkStart w:id="13" w:name="_Toc106360858"/>
      <w:bookmarkStart w:id="14" w:name="_Toc35439363"/>
      <w:r>
        <w:t>E.3.4.3</w:t>
      </w:r>
      <w:r>
        <w:tab/>
      </w:r>
      <w:r>
        <w:t>Negotiation of security algorithms</w:t>
      </w:r>
      <w:bookmarkEnd w:id="10"/>
      <w:bookmarkEnd w:id="11"/>
      <w:bookmarkEnd w:id="12"/>
      <w:bookmarkEnd w:id="13"/>
      <w:bookmarkEnd w:id="14"/>
    </w:p>
    <w:p>
      <w:pPr>
        <w:rPr>
          <w:color w:val="000000" w:themeColor="text1"/>
          <w14:textFill>
            <w14:solidFill>
              <w14:schemeClr w14:val="tx1"/>
            </w14:solidFill>
          </w14:textFill>
        </w:rPr>
      </w:pPr>
      <w:r>
        <w:t xml:space="preserve">The UE NR security capabilities shall be indicated to the network using a new IE so that the support of EPS and NR algorithms can evolve independently. The UE shall send the UE NR security capabilities to the MME in Attach Request and (when possibly changing MME) TAU Request. To enable the usage of NR EN-DC with an MME that does not understand the UE NR security capabilities in the new IE, such an MME will drop the UE NR security capabilities and never save them in its UE context. An eNB that does not receive the UE NR security capabilities shall use the E-UTRAN security capabilities algorithms to create the supported UE NR security capabilities </w:t>
      </w:r>
      <w:r>
        <w:rPr>
          <w:color w:val="000000" w:themeColor="text1"/>
          <w14:textFill>
            <w14:solidFill>
              <w14:schemeClr w14:val="tx1"/>
            </w14:solidFill>
          </w14:textFill>
        </w:rPr>
        <w:t xml:space="preserve">(see Annex </w:t>
      </w:r>
      <w:ins w:id="0" w:author="CMCC" w:date="2024-04-01T14:18:00Z">
        <w:r>
          <w:rPr>
            <w:color w:val="000000" w:themeColor="text1"/>
            <w14:textFill>
              <w14:solidFill>
                <w14:schemeClr w14:val="tx1"/>
              </w14:solidFill>
            </w14:textFill>
          </w:rPr>
          <w:t>E.3.10.2</w:t>
        </w:r>
      </w:ins>
      <w:del w:id="1" w:author="CMCC" w:date="2024-04-01T14:18:00Z">
        <w:r>
          <w:rPr>
            <w:color w:val="000000" w:themeColor="text1"/>
            <w14:textFill>
              <w14:solidFill>
                <w14:schemeClr w14:val="tx1"/>
              </w14:solidFill>
            </w14:textFill>
          </w:rPr>
          <w:delText>E.10.3.2</w:delText>
        </w:r>
      </w:del>
      <w:r>
        <w:rPr>
          <w:color w:val="000000" w:themeColor="text1"/>
          <w14:textFill>
            <w14:solidFill>
              <w14:schemeClr w14:val="tx1"/>
            </w14:solidFill>
          </w14:textFill>
        </w:rPr>
        <w:t xml:space="preserve"> for more details). </w:t>
      </w:r>
    </w:p>
    <w:p>
      <w:r>
        <w:t xml:space="preserve">An MME that has the UE NR security capabilities shall send the UE NR security capabilities to the eNB in the S1-Initial Context Set-up message. </w:t>
      </w:r>
    </w:p>
    <w:p>
      <w:r>
        <w:t>At S1-handover if the target MME receives the UE NR security capabilities from the source MME, the target MME shall send the UE NR security capabilities to the target eNB in the S1-AP Handover Request</w:t>
      </w:r>
    </w:p>
    <w:p>
      <w:r>
        <w:t>At X2 handover, if the source eNB has the UE NR security capabilities, the source eNB shall send the UE NR security capabilities to the target eNB. These UE NR security capabilities should be the same as received from the MME on the S1 interface.</w:t>
      </w:r>
    </w:p>
    <w:p>
      <w:r>
        <w:t>After a handover, it is possible that an eNB may have not received the UE NR security capabilities as the UE may have just been handed over from an eNB or MME that does not support the UE NR security capabilities. To overcome such a possible problem, the eNB shall create the UE NR security capabilities from the supported E-UTRAN security algorithms. To do this, the eNB shall use the mapping between the E-UTRAN security algorithms and NR security algorithms as per Annex E.3.10.2. When adding SgNB while establishing an EN-DC connection, the MeNB shall send these created UE NR security capabilities to the SgNB. Other than for adding an SgNB, the created UE NR security capabilities shall not be sent from the MeNB.</w:t>
      </w:r>
    </w:p>
    <w:p>
      <w:r>
        <w:t>A target eNB that has received the UE NR security capabilities during handover shall include the UE NR security capabilities in the S1-PATH SWITCH-REQUEST message.</w:t>
      </w:r>
    </w:p>
    <w:p>
      <w:r>
        <w:t>If an MME does not receive the UE NR security capabilities in the S1-PATH-SWITCH-REQUEST message from the target eNB to which the UE is connected to, or if an MME becomes aware that the eNB doesn't know the UE NR security capabilities after an S1-handover, the MME should send the UE NR security capabilities to the target eNB via the PATH SWITCH REQUEST ACKNOWLEDGE message as specified in TS 36.413 [42], and the the target eNB shall store the UE NR security capabilities in the UE context.</w:t>
      </w:r>
    </w:p>
    <w:p>
      <w:r>
        <w:t xml:space="preserve">When establishing one or more DRBs and/or a SRB for a UE at the SgNB, as shown on Figure E.3.3-1, the MeNB shall send the UE NR security capabilities associated with the UE in the SgNB Addition/Modification procedure. Upon receipt of this message, the SgNB shall identify the needed algorithm(s) with highest priority in the locally configured priority list of algorithms that is also present in the received UE NR security capabilities and include an indicator for the locally identified algorithm(s) in </w:t>
      </w:r>
      <w:r>
        <w:rPr>
          <w:rFonts w:hint="eastAsia"/>
          <w:lang w:eastAsia="zh-CN"/>
        </w:rPr>
        <w:t xml:space="preserve">SgNB </w:t>
      </w:r>
      <w:r>
        <w:t xml:space="preserve">Addition/Modification </w:t>
      </w:r>
      <w:r>
        <w:rPr>
          <w:rFonts w:hint="eastAsia"/>
          <w:lang w:eastAsia="zh-CN"/>
        </w:rPr>
        <w:t>Request Acknowledge.</w:t>
      </w:r>
      <w:r>
        <w:rPr>
          <w:lang w:eastAsia="zh-CN"/>
        </w:rPr>
        <w:t xml:space="preserve"> </w:t>
      </w:r>
    </w:p>
    <w:p>
      <w:pPr>
        <w:rPr>
          <w:lang w:eastAsia="zh-CN"/>
        </w:rPr>
      </w:pPr>
      <w:r>
        <w:t>The MeNB shall forward the indication to the UE during the RRC</w:t>
      </w:r>
      <w:r>
        <w:rPr>
          <w:rFonts w:hint="eastAsia"/>
          <w:lang w:eastAsia="zh-CN"/>
        </w:rPr>
        <w:t>Connection</w:t>
      </w:r>
      <w:r>
        <w:t>R</w:t>
      </w:r>
      <w:r>
        <w:rPr>
          <w:rFonts w:hint="eastAsia"/>
          <w:lang w:eastAsia="zh-CN"/>
        </w:rPr>
        <w:t>econfiguration</w:t>
      </w:r>
      <w:r>
        <w:t xml:space="preserve"> procedure that establishes the SgNB terminated DRBs and/or SgNB terminated SRB in the UE. </w:t>
      </w:r>
      <w:r>
        <w:rPr>
          <w:lang w:eastAsia="zh-CN"/>
        </w:rPr>
        <w:t>T</w:t>
      </w:r>
      <w:r>
        <w:rPr>
          <w:rFonts w:hint="eastAsia"/>
          <w:lang w:eastAsia="zh-CN"/>
        </w:rPr>
        <w:t xml:space="preserve">he UE shall use the indicated </w:t>
      </w:r>
      <w:r>
        <w:rPr>
          <w:lang w:eastAsia="zh-CN"/>
        </w:rPr>
        <w:t xml:space="preserve">encryption </w:t>
      </w:r>
      <w:r>
        <w:t>algorithms</w:t>
      </w:r>
      <w:r>
        <w:rPr>
          <w:rFonts w:hint="eastAsia"/>
          <w:lang w:eastAsia="zh-CN"/>
        </w:rPr>
        <w:t xml:space="preserve"> for the </w:t>
      </w:r>
      <w:r>
        <w:rPr>
          <w:lang w:eastAsia="zh-CN"/>
        </w:rPr>
        <w:t xml:space="preserve">SgNB terminated </w:t>
      </w:r>
      <w:r>
        <w:rPr>
          <w:rFonts w:hint="eastAsia"/>
          <w:lang w:eastAsia="zh-CN"/>
        </w:rPr>
        <w:t xml:space="preserve">DRBs </w:t>
      </w:r>
      <w:r>
        <w:rPr>
          <w:lang w:eastAsia="zh-CN"/>
        </w:rPr>
        <w:t xml:space="preserve">and/or SgNB terminated SRB </w:t>
      </w:r>
      <w:r>
        <w:rPr>
          <w:rFonts w:hint="eastAsia"/>
          <w:lang w:eastAsia="zh-CN"/>
        </w:rPr>
        <w:t xml:space="preserve">and the indicated </w:t>
      </w:r>
      <w:r>
        <w:rPr>
          <w:lang w:eastAsia="zh-CN"/>
        </w:rPr>
        <w:t>integrity algorithm for the SgNB terminated SRB and/or SgNB terminated DRBs.</w:t>
      </w:r>
    </w:p>
    <w:p>
      <w:pPr>
        <w:keepLines/>
        <w:ind w:left="1135" w:hanging="851"/>
        <w:rPr>
          <w:rFonts w:eastAsia="宋体"/>
          <w:lang w:eastAsia="ja-JP"/>
        </w:rPr>
      </w:pPr>
      <w:r>
        <w:rPr>
          <w:rFonts w:eastAsia="宋体"/>
          <w:lang w:eastAsia="ja-JP"/>
        </w:rPr>
        <w:t>NOTE:</w:t>
      </w:r>
      <w:r>
        <w:rPr>
          <w:rFonts w:eastAsia="宋体"/>
          <w:lang w:eastAsia="ja-JP"/>
        </w:rPr>
        <w:tab/>
      </w:r>
      <w:r>
        <w:rPr>
          <w:rFonts w:eastAsia="宋体"/>
          <w:lang w:eastAsia="ja-JP"/>
        </w:rPr>
        <w:t>Void</w:t>
      </w:r>
    </w:p>
    <w:p/>
    <w:p/>
    <w:p>
      <w:pPr>
        <w:overflowPunct w:val="0"/>
        <w:autoSpaceDE w:val="0"/>
        <w:autoSpaceDN w:val="0"/>
        <w:adjustRightInd w:val="0"/>
        <w:jc w:val="center"/>
        <w:textAlignment w:val="baseline"/>
        <w:rPr>
          <w:b/>
          <w:bCs/>
          <w:color w:val="0432FF"/>
          <w:sz w:val="36"/>
          <w:szCs w:val="36"/>
        </w:rPr>
      </w:pPr>
      <w:r>
        <w:rPr>
          <w:b/>
          <w:bCs/>
          <w:color w:val="0432FF"/>
          <w:sz w:val="36"/>
          <w:szCs w:val="36"/>
        </w:rPr>
        <w:t>*** NEXT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Y2M3YTAyODkwM2VlZjMwMzdhZGM5YmY4YjZhNGJlN2IifQ=="/>
  </w:docVars>
  <w:rsids>
    <w:rsidRoot w:val="00022E4A"/>
    <w:rsid w:val="00017E31"/>
    <w:rsid w:val="00022E4A"/>
    <w:rsid w:val="000A6394"/>
    <w:rsid w:val="000B7FED"/>
    <w:rsid w:val="000C038A"/>
    <w:rsid w:val="000C6598"/>
    <w:rsid w:val="000D44B3"/>
    <w:rsid w:val="000E014D"/>
    <w:rsid w:val="00145D43"/>
    <w:rsid w:val="00154B20"/>
    <w:rsid w:val="00156BE0"/>
    <w:rsid w:val="00192C46"/>
    <w:rsid w:val="001A08B3"/>
    <w:rsid w:val="001A7B60"/>
    <w:rsid w:val="001B52F0"/>
    <w:rsid w:val="001B7A65"/>
    <w:rsid w:val="001E41F3"/>
    <w:rsid w:val="00247769"/>
    <w:rsid w:val="0026004D"/>
    <w:rsid w:val="002640DD"/>
    <w:rsid w:val="00275D12"/>
    <w:rsid w:val="00284FEB"/>
    <w:rsid w:val="002860C4"/>
    <w:rsid w:val="002B5741"/>
    <w:rsid w:val="002E472E"/>
    <w:rsid w:val="00305409"/>
    <w:rsid w:val="003147AC"/>
    <w:rsid w:val="0034108E"/>
    <w:rsid w:val="003609EF"/>
    <w:rsid w:val="0036231A"/>
    <w:rsid w:val="00374DD4"/>
    <w:rsid w:val="003A7B2F"/>
    <w:rsid w:val="003C2DBE"/>
    <w:rsid w:val="003C3CD4"/>
    <w:rsid w:val="003E1A36"/>
    <w:rsid w:val="003F0A72"/>
    <w:rsid w:val="003F5A07"/>
    <w:rsid w:val="00410371"/>
    <w:rsid w:val="004242F1"/>
    <w:rsid w:val="00432FF2"/>
    <w:rsid w:val="00482288"/>
    <w:rsid w:val="004A15E5"/>
    <w:rsid w:val="004A52C6"/>
    <w:rsid w:val="004B75B7"/>
    <w:rsid w:val="004C542E"/>
    <w:rsid w:val="004D5235"/>
    <w:rsid w:val="004E52BE"/>
    <w:rsid w:val="005009D9"/>
    <w:rsid w:val="0051580D"/>
    <w:rsid w:val="00540790"/>
    <w:rsid w:val="00546764"/>
    <w:rsid w:val="00547111"/>
    <w:rsid w:val="00550765"/>
    <w:rsid w:val="00592D74"/>
    <w:rsid w:val="005A629C"/>
    <w:rsid w:val="005E2C44"/>
    <w:rsid w:val="00621188"/>
    <w:rsid w:val="006257ED"/>
    <w:rsid w:val="0065536E"/>
    <w:rsid w:val="0065792D"/>
    <w:rsid w:val="00665C47"/>
    <w:rsid w:val="00695808"/>
    <w:rsid w:val="00695A6C"/>
    <w:rsid w:val="006B46FB"/>
    <w:rsid w:val="006E21FB"/>
    <w:rsid w:val="00785599"/>
    <w:rsid w:val="00792342"/>
    <w:rsid w:val="007977A8"/>
    <w:rsid w:val="007B512A"/>
    <w:rsid w:val="007C2097"/>
    <w:rsid w:val="007D6A07"/>
    <w:rsid w:val="007F7259"/>
    <w:rsid w:val="008040A8"/>
    <w:rsid w:val="008250E2"/>
    <w:rsid w:val="008279FA"/>
    <w:rsid w:val="008626E7"/>
    <w:rsid w:val="00870EE7"/>
    <w:rsid w:val="00880A55"/>
    <w:rsid w:val="008863B9"/>
    <w:rsid w:val="0088765D"/>
    <w:rsid w:val="00887DA0"/>
    <w:rsid w:val="008A45A6"/>
    <w:rsid w:val="008B7764"/>
    <w:rsid w:val="008D39FE"/>
    <w:rsid w:val="008E52BE"/>
    <w:rsid w:val="008F3789"/>
    <w:rsid w:val="008F686C"/>
    <w:rsid w:val="00903CF7"/>
    <w:rsid w:val="009148DE"/>
    <w:rsid w:val="00917926"/>
    <w:rsid w:val="00941E30"/>
    <w:rsid w:val="009777D9"/>
    <w:rsid w:val="00991B88"/>
    <w:rsid w:val="009A5753"/>
    <w:rsid w:val="009A579D"/>
    <w:rsid w:val="009E3297"/>
    <w:rsid w:val="009E717A"/>
    <w:rsid w:val="009F734F"/>
    <w:rsid w:val="00A1069F"/>
    <w:rsid w:val="00A11F8F"/>
    <w:rsid w:val="00A246B6"/>
    <w:rsid w:val="00A47E70"/>
    <w:rsid w:val="00A50CF0"/>
    <w:rsid w:val="00A7671C"/>
    <w:rsid w:val="00AA2CBC"/>
    <w:rsid w:val="00AB00AF"/>
    <w:rsid w:val="00AC5820"/>
    <w:rsid w:val="00AD1CD8"/>
    <w:rsid w:val="00B1351F"/>
    <w:rsid w:val="00B13F88"/>
    <w:rsid w:val="00B14F3B"/>
    <w:rsid w:val="00B258BB"/>
    <w:rsid w:val="00B67B97"/>
    <w:rsid w:val="00B968C8"/>
    <w:rsid w:val="00BA3EC5"/>
    <w:rsid w:val="00BA51D9"/>
    <w:rsid w:val="00BA6291"/>
    <w:rsid w:val="00BB5DFC"/>
    <w:rsid w:val="00BD279D"/>
    <w:rsid w:val="00BD6BB8"/>
    <w:rsid w:val="00C12D8A"/>
    <w:rsid w:val="00C252F0"/>
    <w:rsid w:val="00C66BA2"/>
    <w:rsid w:val="00C95985"/>
    <w:rsid w:val="00CA1BF6"/>
    <w:rsid w:val="00CC5026"/>
    <w:rsid w:val="00CC68D0"/>
    <w:rsid w:val="00CF5C18"/>
    <w:rsid w:val="00D03F9A"/>
    <w:rsid w:val="00D06D51"/>
    <w:rsid w:val="00D24991"/>
    <w:rsid w:val="00D50255"/>
    <w:rsid w:val="00D55BE4"/>
    <w:rsid w:val="00D66520"/>
    <w:rsid w:val="00D67D4B"/>
    <w:rsid w:val="00D9340F"/>
    <w:rsid w:val="00DE34CF"/>
    <w:rsid w:val="00DF0B41"/>
    <w:rsid w:val="00E13F3D"/>
    <w:rsid w:val="00E1664D"/>
    <w:rsid w:val="00E17DB0"/>
    <w:rsid w:val="00E24BA6"/>
    <w:rsid w:val="00E339EB"/>
    <w:rsid w:val="00E34898"/>
    <w:rsid w:val="00E55C56"/>
    <w:rsid w:val="00E65B8D"/>
    <w:rsid w:val="00EB09B7"/>
    <w:rsid w:val="00ED5E71"/>
    <w:rsid w:val="00EE7D7C"/>
    <w:rsid w:val="00F257B3"/>
    <w:rsid w:val="00F25D98"/>
    <w:rsid w:val="00F300FB"/>
    <w:rsid w:val="00FB6386"/>
    <w:rsid w:val="03173FF9"/>
    <w:rsid w:val="23262F73"/>
    <w:rsid w:val="2D8D3ECA"/>
    <w:rsid w:val="2DB256DE"/>
    <w:rsid w:val="368F7B44"/>
    <w:rsid w:val="42E45EE2"/>
    <w:rsid w:val="43635059"/>
    <w:rsid w:val="4D0D7563"/>
    <w:rsid w:val="4F8C4132"/>
    <w:rsid w:val="57545744"/>
    <w:rsid w:val="5E343C2D"/>
    <w:rsid w:val="647D5916"/>
    <w:rsid w:val="66DB0439"/>
    <w:rsid w:val="7A505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修订1"/>
    <w:hidden/>
    <w:unhideWhenUsed/>
    <w:qFormat/>
    <w:uiPriority w:val="99"/>
    <w:rPr>
      <w:rFonts w:ascii="Times New Roman" w:hAnsi="Times New Roman" w:eastAsia="Times New Roman" w:cs="Times New Roman"/>
      <w:lang w:val="en-GB" w:eastAsia="en-US" w:bidi="ar-SA"/>
    </w:rPr>
  </w:style>
  <w:style w:type="paragraph" w:customStyle="1" w:styleId="16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890</Words>
  <Characters>5076</Characters>
  <Lines>42</Lines>
  <Paragraphs>11</Paragraphs>
  <TotalTime>154</TotalTime>
  <ScaleCrop>false</ScaleCrop>
  <LinksUpToDate>false</LinksUpToDate>
  <CharactersWithSpaces>5955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lc</cp:lastModifiedBy>
  <cp:lastPrinted>2411-12-31T15:59:00Z</cp:lastPrinted>
  <dcterms:modified xsi:type="dcterms:W3CDTF">2024-05-13T11:57:45Z</dcterms:modified>
  <dc:title>MTG_TITLE</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79D1A7F8FD0E40EF907194E484EA94D1</vt:lpwstr>
  </property>
</Properties>
</file>